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92" w:rsidRPr="00EA5407" w:rsidRDefault="00201A92" w:rsidP="00201A92">
      <w:pPr>
        <w:rPr>
          <w:sz w:val="26"/>
          <w:szCs w:val="26"/>
        </w:rPr>
      </w:pPr>
    </w:p>
    <w:p w:rsidR="00482CC4" w:rsidRPr="006D67BE" w:rsidRDefault="00482CC4" w:rsidP="00482CC4">
      <w:pPr>
        <w:pStyle w:val="1"/>
        <w:rPr>
          <w:szCs w:val="26"/>
        </w:rPr>
      </w:pPr>
      <w:r w:rsidRPr="006D67BE">
        <w:rPr>
          <w:szCs w:val="26"/>
        </w:rPr>
        <w:t>ОТЧЕТ</w:t>
      </w:r>
    </w:p>
    <w:p w:rsidR="001717AE" w:rsidRPr="006D67BE" w:rsidRDefault="00E81885" w:rsidP="001717AE">
      <w:pPr>
        <w:pStyle w:val="a3"/>
        <w:ind w:firstLine="720"/>
        <w:rPr>
          <w:szCs w:val="26"/>
        </w:rPr>
      </w:pPr>
      <w:r w:rsidRPr="006D67BE">
        <w:rPr>
          <w:szCs w:val="26"/>
        </w:rPr>
        <w:t xml:space="preserve">О ходе </w:t>
      </w:r>
      <w:r w:rsidR="001717AE" w:rsidRPr="006D67BE">
        <w:rPr>
          <w:szCs w:val="26"/>
        </w:rPr>
        <w:t>реализации и оценке эффективности</w:t>
      </w:r>
    </w:p>
    <w:p w:rsidR="001717AE" w:rsidRPr="006D67BE" w:rsidRDefault="001717AE" w:rsidP="001717AE">
      <w:pPr>
        <w:jc w:val="center"/>
        <w:rPr>
          <w:b/>
          <w:sz w:val="26"/>
          <w:szCs w:val="26"/>
        </w:rPr>
      </w:pPr>
      <w:r w:rsidRPr="006D67BE">
        <w:rPr>
          <w:sz w:val="26"/>
          <w:szCs w:val="26"/>
        </w:rPr>
        <w:t xml:space="preserve"> </w:t>
      </w:r>
      <w:r w:rsidRPr="006D67BE">
        <w:rPr>
          <w:b/>
          <w:sz w:val="26"/>
          <w:szCs w:val="26"/>
        </w:rPr>
        <w:t xml:space="preserve">подпрограммы «Поддержка ипотечного жилищного кредитования» государственной программы </w:t>
      </w:r>
      <w:r w:rsidR="00482CC4" w:rsidRPr="006D67BE">
        <w:rPr>
          <w:b/>
          <w:sz w:val="26"/>
          <w:szCs w:val="26"/>
        </w:rPr>
        <w:t xml:space="preserve">Калужской области </w:t>
      </w:r>
      <w:r w:rsidRPr="006D67BE">
        <w:rPr>
          <w:b/>
          <w:sz w:val="26"/>
          <w:szCs w:val="26"/>
        </w:rPr>
        <w:t xml:space="preserve">«Обеспечение доступным и комфортным жильем </w:t>
      </w:r>
      <w:r w:rsidR="00463DE8" w:rsidRPr="006D67BE">
        <w:rPr>
          <w:b/>
          <w:sz w:val="26"/>
          <w:szCs w:val="26"/>
        </w:rPr>
        <w:br/>
      </w:r>
      <w:r w:rsidRPr="006D67BE">
        <w:rPr>
          <w:b/>
          <w:sz w:val="26"/>
          <w:szCs w:val="26"/>
        </w:rPr>
        <w:t>и коммунальными услугами населения Калужской области»</w:t>
      </w:r>
      <w:r w:rsidR="00463DE8" w:rsidRPr="006D67BE">
        <w:rPr>
          <w:b/>
          <w:sz w:val="26"/>
          <w:szCs w:val="26"/>
        </w:rPr>
        <w:t xml:space="preserve"> в 2015 году</w:t>
      </w:r>
    </w:p>
    <w:p w:rsidR="00236570" w:rsidRPr="006D67BE" w:rsidRDefault="00236570" w:rsidP="001717AE">
      <w:pPr>
        <w:jc w:val="center"/>
        <w:rPr>
          <w:b/>
          <w:sz w:val="26"/>
          <w:szCs w:val="26"/>
        </w:rPr>
      </w:pPr>
    </w:p>
    <w:p w:rsidR="00482CC4" w:rsidRPr="006D67BE" w:rsidRDefault="00482CC4" w:rsidP="00463DE8">
      <w:pPr>
        <w:pStyle w:val="a7"/>
        <w:numPr>
          <w:ilvl w:val="0"/>
          <w:numId w:val="11"/>
        </w:numPr>
        <w:ind w:hanging="11"/>
        <w:rPr>
          <w:b/>
          <w:sz w:val="25"/>
          <w:szCs w:val="25"/>
        </w:rPr>
      </w:pPr>
      <w:r w:rsidRPr="006D67BE">
        <w:rPr>
          <w:b/>
          <w:sz w:val="25"/>
          <w:szCs w:val="25"/>
        </w:rPr>
        <w:t>Общая часть</w:t>
      </w:r>
    </w:p>
    <w:p w:rsidR="00463DE8" w:rsidRPr="006D67BE" w:rsidRDefault="00463DE8" w:rsidP="00463DE8">
      <w:pPr>
        <w:pStyle w:val="ConsPlusNormal"/>
        <w:jc w:val="both"/>
        <w:rPr>
          <w:rFonts w:ascii="Times New Roman" w:hAnsi="Times New Roman" w:cs="Times New Roman"/>
          <w:sz w:val="26"/>
          <w:szCs w:val="26"/>
        </w:rPr>
      </w:pPr>
      <w:r w:rsidRPr="006D67BE">
        <w:rPr>
          <w:rFonts w:ascii="Times New Roman" w:hAnsi="Times New Roman" w:cs="Times New Roman"/>
          <w:sz w:val="26"/>
          <w:szCs w:val="26"/>
        </w:rPr>
        <w:t>Подпрограмма - «Поддержка ипотечного жилищного кредитования» (далее - подпрограмма).</w:t>
      </w:r>
    </w:p>
    <w:p w:rsidR="00463DE8" w:rsidRPr="006D67BE" w:rsidRDefault="00463DE8" w:rsidP="00463DE8">
      <w:pPr>
        <w:ind w:left="360" w:right="-284" w:firstLine="349"/>
        <w:jc w:val="both"/>
        <w:rPr>
          <w:i/>
          <w:sz w:val="26"/>
          <w:szCs w:val="26"/>
        </w:rPr>
      </w:pPr>
      <w:r w:rsidRPr="006D67BE">
        <w:rPr>
          <w:i/>
          <w:sz w:val="26"/>
          <w:szCs w:val="26"/>
        </w:rPr>
        <w:t>Основные цели и задачи подпрограммы:</w:t>
      </w:r>
    </w:p>
    <w:p w:rsidR="00482CC4" w:rsidRPr="006D67BE" w:rsidRDefault="00482CC4" w:rsidP="00463DE8">
      <w:pPr>
        <w:pStyle w:val="ConsPlusNormal"/>
        <w:jc w:val="both"/>
        <w:rPr>
          <w:rFonts w:ascii="Times New Roman" w:hAnsi="Times New Roman" w:cs="Times New Roman"/>
          <w:sz w:val="26"/>
          <w:szCs w:val="26"/>
        </w:rPr>
      </w:pPr>
      <w:r w:rsidRPr="006D67BE">
        <w:rPr>
          <w:rFonts w:ascii="Times New Roman" w:hAnsi="Times New Roman" w:cs="Times New Roman"/>
          <w:sz w:val="26"/>
          <w:szCs w:val="26"/>
        </w:rPr>
        <w:t>Цель</w:t>
      </w:r>
      <w:r w:rsidR="00DC4204" w:rsidRPr="006D67BE">
        <w:rPr>
          <w:rFonts w:ascii="Times New Roman" w:hAnsi="Times New Roman" w:cs="Times New Roman"/>
          <w:sz w:val="26"/>
          <w:szCs w:val="26"/>
        </w:rPr>
        <w:t xml:space="preserve"> подпрограммы </w:t>
      </w:r>
      <w:r w:rsidRPr="006D67BE">
        <w:rPr>
          <w:rFonts w:ascii="Times New Roman" w:hAnsi="Times New Roman" w:cs="Times New Roman"/>
          <w:sz w:val="26"/>
          <w:szCs w:val="26"/>
        </w:rPr>
        <w:t xml:space="preserve">- </w:t>
      </w:r>
      <w:r w:rsidR="00236570" w:rsidRPr="006D67BE">
        <w:rPr>
          <w:rFonts w:ascii="Times New Roman" w:hAnsi="Times New Roman" w:cs="Times New Roman"/>
          <w:sz w:val="26"/>
          <w:szCs w:val="26"/>
        </w:rPr>
        <w:t>п</w:t>
      </w:r>
      <w:r w:rsidRPr="006D67BE">
        <w:rPr>
          <w:rFonts w:ascii="Times New Roman" w:hAnsi="Times New Roman" w:cs="Times New Roman"/>
          <w:sz w:val="26"/>
          <w:szCs w:val="26"/>
        </w:rPr>
        <w:t>овышение доступности ипотечных жилищных кредитов для населения Калужской области</w:t>
      </w:r>
    </w:p>
    <w:p w:rsidR="00482CC4" w:rsidRPr="006D67BE" w:rsidRDefault="00482CC4" w:rsidP="00463DE8">
      <w:pPr>
        <w:ind w:firstLine="708"/>
        <w:jc w:val="both"/>
        <w:rPr>
          <w:sz w:val="26"/>
          <w:szCs w:val="26"/>
        </w:rPr>
      </w:pPr>
      <w:r w:rsidRPr="006D67BE">
        <w:rPr>
          <w:sz w:val="26"/>
          <w:szCs w:val="26"/>
        </w:rPr>
        <w:t>Задачи подпрограммы</w:t>
      </w:r>
      <w:r w:rsidR="00236570" w:rsidRPr="006D67BE">
        <w:rPr>
          <w:sz w:val="26"/>
          <w:szCs w:val="26"/>
        </w:rPr>
        <w:t>:</w:t>
      </w:r>
    </w:p>
    <w:p w:rsidR="00482CC4" w:rsidRPr="006D67BE" w:rsidRDefault="00236570" w:rsidP="00463DE8">
      <w:pPr>
        <w:pStyle w:val="a7"/>
        <w:numPr>
          <w:ilvl w:val="0"/>
          <w:numId w:val="8"/>
        </w:numPr>
        <w:tabs>
          <w:tab w:val="left" w:pos="993"/>
        </w:tabs>
        <w:autoSpaceDE w:val="0"/>
        <w:autoSpaceDN w:val="0"/>
        <w:adjustRightInd w:val="0"/>
        <w:ind w:left="0" w:firstLine="709"/>
        <w:jc w:val="both"/>
        <w:rPr>
          <w:rFonts w:eastAsia="Calibri"/>
          <w:sz w:val="26"/>
          <w:szCs w:val="26"/>
        </w:rPr>
      </w:pPr>
      <w:r w:rsidRPr="006D67BE">
        <w:rPr>
          <w:rFonts w:eastAsia="Calibri"/>
          <w:sz w:val="26"/>
          <w:szCs w:val="26"/>
        </w:rPr>
        <w:t>ф</w:t>
      </w:r>
      <w:r w:rsidR="00482CC4" w:rsidRPr="006D67BE">
        <w:rPr>
          <w:rFonts w:eastAsia="Calibri"/>
          <w:sz w:val="26"/>
          <w:szCs w:val="26"/>
        </w:rPr>
        <w:t>ормирование и развитие финансовых механизмов ипотечного жилищного кредитования, обеспечивающих доступность жилья для граждан;</w:t>
      </w:r>
    </w:p>
    <w:p w:rsidR="00482CC4" w:rsidRPr="006D67BE" w:rsidRDefault="00236570" w:rsidP="00463DE8">
      <w:pPr>
        <w:pStyle w:val="a7"/>
        <w:numPr>
          <w:ilvl w:val="0"/>
          <w:numId w:val="8"/>
        </w:numPr>
        <w:tabs>
          <w:tab w:val="left" w:pos="993"/>
        </w:tabs>
        <w:autoSpaceDE w:val="0"/>
        <w:autoSpaceDN w:val="0"/>
        <w:adjustRightInd w:val="0"/>
        <w:ind w:left="0" w:firstLine="709"/>
        <w:jc w:val="both"/>
        <w:rPr>
          <w:rFonts w:eastAsia="Calibri"/>
          <w:sz w:val="26"/>
          <w:szCs w:val="26"/>
        </w:rPr>
      </w:pPr>
      <w:r w:rsidRPr="006D67BE">
        <w:rPr>
          <w:rFonts w:eastAsia="Calibri"/>
          <w:sz w:val="26"/>
          <w:szCs w:val="26"/>
        </w:rPr>
        <w:t>п</w:t>
      </w:r>
      <w:r w:rsidR="00482CC4" w:rsidRPr="006D67BE">
        <w:rPr>
          <w:rFonts w:eastAsia="Calibri"/>
          <w:sz w:val="26"/>
          <w:szCs w:val="26"/>
        </w:rPr>
        <w:t>редоставление государственных мер поддержки в обеспечение жильем отдельных категорий граждан с использованием механизмов ипотечного жилищного кредитования</w:t>
      </w:r>
      <w:r w:rsidRPr="006D67BE">
        <w:rPr>
          <w:rFonts w:eastAsia="Calibri"/>
          <w:sz w:val="26"/>
          <w:szCs w:val="26"/>
        </w:rPr>
        <w:t>.</w:t>
      </w:r>
    </w:p>
    <w:p w:rsidR="00236570" w:rsidRPr="006D67BE" w:rsidRDefault="00236570" w:rsidP="00463DE8">
      <w:pPr>
        <w:pStyle w:val="a7"/>
        <w:numPr>
          <w:ilvl w:val="0"/>
          <w:numId w:val="11"/>
        </w:numPr>
        <w:rPr>
          <w:b/>
          <w:sz w:val="25"/>
          <w:szCs w:val="25"/>
        </w:rPr>
      </w:pPr>
      <w:r w:rsidRPr="006D67BE">
        <w:rPr>
          <w:b/>
          <w:sz w:val="25"/>
          <w:szCs w:val="25"/>
        </w:rPr>
        <w:t>Результаты, достигнутые за отчетный период</w:t>
      </w:r>
    </w:p>
    <w:p w:rsidR="00236570" w:rsidRPr="006D67BE" w:rsidRDefault="00236570" w:rsidP="00236570">
      <w:pPr>
        <w:autoSpaceDE w:val="0"/>
        <w:autoSpaceDN w:val="0"/>
        <w:adjustRightInd w:val="0"/>
        <w:ind w:left="360"/>
        <w:jc w:val="both"/>
        <w:rPr>
          <w:i/>
          <w:sz w:val="25"/>
          <w:szCs w:val="25"/>
        </w:rPr>
      </w:pPr>
      <w:r w:rsidRPr="006D67BE">
        <w:rPr>
          <w:i/>
          <w:sz w:val="25"/>
          <w:szCs w:val="25"/>
        </w:rPr>
        <w:t xml:space="preserve">Основные результаты, </w:t>
      </w:r>
      <w:r w:rsidR="00867893" w:rsidRPr="006D67BE">
        <w:rPr>
          <w:i/>
          <w:sz w:val="25"/>
          <w:szCs w:val="25"/>
        </w:rPr>
        <w:t>достигнутые в 2015</w:t>
      </w:r>
      <w:r w:rsidRPr="006D67BE">
        <w:rPr>
          <w:i/>
          <w:sz w:val="25"/>
          <w:szCs w:val="25"/>
        </w:rPr>
        <w:t xml:space="preserve"> году:</w:t>
      </w:r>
    </w:p>
    <w:p w:rsidR="00867893" w:rsidRPr="006D67BE" w:rsidRDefault="00867893" w:rsidP="001C1F12">
      <w:pPr>
        <w:pStyle w:val="a7"/>
        <w:numPr>
          <w:ilvl w:val="0"/>
          <w:numId w:val="8"/>
        </w:numPr>
        <w:tabs>
          <w:tab w:val="left" w:pos="993"/>
        </w:tabs>
        <w:autoSpaceDE w:val="0"/>
        <w:autoSpaceDN w:val="0"/>
        <w:adjustRightInd w:val="0"/>
        <w:ind w:left="0" w:firstLine="709"/>
        <w:jc w:val="both"/>
        <w:rPr>
          <w:rFonts w:eastAsia="Calibri"/>
          <w:sz w:val="26"/>
          <w:szCs w:val="26"/>
        </w:rPr>
      </w:pPr>
      <w:r w:rsidRPr="006D67BE">
        <w:rPr>
          <w:rFonts w:eastAsia="Calibri"/>
          <w:sz w:val="26"/>
          <w:szCs w:val="26"/>
        </w:rPr>
        <w:t xml:space="preserve">социальную выплату получили 175 сотрудников организаций, осуществляющих деятельность на территориях индустриальных парков, технопарков, особых экономических зон, а также сотрудникам организаций с численностью персонала 250 человек и более </w:t>
      </w:r>
      <w:r w:rsidR="003B2ECA" w:rsidRPr="006D67BE">
        <w:rPr>
          <w:rFonts w:eastAsia="Calibri"/>
          <w:sz w:val="26"/>
          <w:szCs w:val="26"/>
        </w:rPr>
        <w:t xml:space="preserve"> </w:t>
      </w:r>
      <w:r w:rsidR="00965FDC">
        <w:rPr>
          <w:rFonts w:eastAsia="Calibri"/>
          <w:sz w:val="26"/>
          <w:szCs w:val="26"/>
        </w:rPr>
        <w:br/>
      </w:r>
      <w:r w:rsidR="00591C6C" w:rsidRPr="006D67BE">
        <w:rPr>
          <w:rFonts w:eastAsia="Calibri"/>
          <w:sz w:val="26"/>
          <w:szCs w:val="26"/>
        </w:rPr>
        <w:t>на сумму 35</w:t>
      </w:r>
      <w:r w:rsidR="00325FEF" w:rsidRPr="006D67BE">
        <w:rPr>
          <w:rFonts w:eastAsia="Calibri"/>
          <w:sz w:val="26"/>
          <w:szCs w:val="26"/>
        </w:rPr>
        <w:t> </w:t>
      </w:r>
      <w:r w:rsidRPr="006D67BE">
        <w:rPr>
          <w:rFonts w:eastAsia="Calibri"/>
          <w:sz w:val="26"/>
          <w:szCs w:val="26"/>
        </w:rPr>
        <w:t>662</w:t>
      </w:r>
      <w:r w:rsidR="00325FEF" w:rsidRPr="006D67BE">
        <w:rPr>
          <w:rFonts w:eastAsia="Calibri"/>
          <w:sz w:val="26"/>
          <w:szCs w:val="26"/>
        </w:rPr>
        <w:t>,45</w:t>
      </w:r>
      <w:r w:rsidRPr="006D67BE">
        <w:rPr>
          <w:rFonts w:eastAsia="Calibri"/>
          <w:sz w:val="26"/>
          <w:szCs w:val="26"/>
        </w:rPr>
        <w:t xml:space="preserve"> </w:t>
      </w:r>
      <w:r w:rsidR="00325FEF" w:rsidRPr="006D67BE">
        <w:rPr>
          <w:rFonts w:eastAsia="Calibri"/>
          <w:sz w:val="26"/>
          <w:szCs w:val="26"/>
        </w:rPr>
        <w:t>тыс</w:t>
      </w:r>
      <w:r w:rsidRPr="006D67BE">
        <w:rPr>
          <w:rFonts w:eastAsia="Calibri"/>
          <w:sz w:val="26"/>
          <w:szCs w:val="26"/>
        </w:rPr>
        <w:t>.</w:t>
      </w:r>
      <w:r w:rsidR="00325FEF" w:rsidRPr="006D67BE">
        <w:rPr>
          <w:rFonts w:eastAsia="Calibri"/>
          <w:sz w:val="26"/>
          <w:szCs w:val="26"/>
        </w:rPr>
        <w:t xml:space="preserve"> </w:t>
      </w:r>
      <w:r w:rsidRPr="006D67BE">
        <w:rPr>
          <w:rFonts w:eastAsia="Calibri"/>
          <w:sz w:val="26"/>
          <w:szCs w:val="26"/>
        </w:rPr>
        <w:t>рублей.</w:t>
      </w:r>
    </w:p>
    <w:p w:rsidR="00C85E65" w:rsidRPr="006D67BE" w:rsidRDefault="00C85E65" w:rsidP="00C85E65">
      <w:pPr>
        <w:pStyle w:val="ConsPlusNormal"/>
        <w:ind w:left="360" w:firstLine="349"/>
        <w:jc w:val="both"/>
        <w:rPr>
          <w:rFonts w:ascii="Times New Roman" w:hAnsi="Times New Roman" w:cs="Times New Roman"/>
          <w:i/>
          <w:sz w:val="25"/>
          <w:szCs w:val="25"/>
        </w:rPr>
      </w:pPr>
      <w:r w:rsidRPr="006D67BE">
        <w:rPr>
          <w:rFonts w:ascii="Times New Roman" w:hAnsi="Times New Roman" w:cs="Times New Roman"/>
          <w:i/>
          <w:sz w:val="25"/>
          <w:szCs w:val="25"/>
        </w:rPr>
        <w:t>Характеристика  реализованных мероприятий подпрограммы.</w:t>
      </w:r>
    </w:p>
    <w:p w:rsidR="00C85E65" w:rsidRPr="006D67BE" w:rsidRDefault="00C85E65" w:rsidP="00C85E65">
      <w:pPr>
        <w:ind w:firstLine="851"/>
        <w:jc w:val="both"/>
        <w:rPr>
          <w:sz w:val="26"/>
          <w:szCs w:val="26"/>
        </w:rPr>
      </w:pPr>
      <w:proofErr w:type="gramStart"/>
      <w:r w:rsidRPr="006D67BE">
        <w:rPr>
          <w:sz w:val="26"/>
          <w:szCs w:val="26"/>
        </w:rPr>
        <w:t>В рамках реализации подпрограммы на территории Калужской области министерством экономического развития Калужской области ведется активная работа по предоставлению социальных выплат сотрудникам организаций, осуществляющих деятельность на территориях индустриальных парков, технопарков, особых экономических зон, а также сотрудникам организаций с численностью персонала 250 человек и более, расположенных вне территорий индустриальных парков, технопарков, особых экономических зон, имеющих основной вид деятельности по «Обрабатывающие производства», и</w:t>
      </w:r>
      <w:proofErr w:type="gramEnd"/>
      <w:r w:rsidRPr="006D67BE">
        <w:rPr>
          <w:sz w:val="26"/>
          <w:szCs w:val="26"/>
        </w:rPr>
        <w:t xml:space="preserve"> </w:t>
      </w:r>
      <w:proofErr w:type="gramStart"/>
      <w:r w:rsidRPr="006D67BE">
        <w:rPr>
          <w:sz w:val="26"/>
          <w:szCs w:val="26"/>
        </w:rPr>
        <w:t xml:space="preserve">сотрудникам организаций с численностью персонала 250 человек </w:t>
      </w:r>
      <w:r w:rsidR="00965FDC">
        <w:rPr>
          <w:sz w:val="26"/>
          <w:szCs w:val="26"/>
        </w:rPr>
        <w:br/>
      </w:r>
      <w:r w:rsidRPr="006D67BE">
        <w:rPr>
          <w:sz w:val="26"/>
          <w:szCs w:val="26"/>
        </w:rPr>
        <w:t xml:space="preserve">и более, расположенных вне территорий индустриальных парков, технопарков, особых экономических зон, включенных в сводный реестр организаций оборонно-промышленного комплекса, утверждаемый Правительством Российской Федерации, имеющих основной вид деятельности по </w:t>
      </w:r>
      <w:hyperlink r:id="rId6" w:history="1">
        <w:r w:rsidRPr="006D67BE">
          <w:rPr>
            <w:sz w:val="26"/>
            <w:szCs w:val="26"/>
          </w:rPr>
          <w:t>разделу</w:t>
        </w:r>
      </w:hyperlink>
      <w:r w:rsidRPr="006D67BE">
        <w:rPr>
          <w:sz w:val="26"/>
          <w:szCs w:val="26"/>
        </w:rPr>
        <w:t xml:space="preserve"> «Научные исследования и разработки» Общероссийского классификатора видов экономической деятельности, для возмещения части первоначального взноса, платежа по кредитам на покупаемое или создаваемое (строящееся) жилье, в том</w:t>
      </w:r>
      <w:proofErr w:type="gramEnd"/>
      <w:r w:rsidRPr="006D67BE">
        <w:rPr>
          <w:sz w:val="26"/>
          <w:szCs w:val="26"/>
        </w:rPr>
        <w:t xml:space="preserve"> </w:t>
      </w:r>
      <w:proofErr w:type="gramStart"/>
      <w:r w:rsidRPr="006D67BE">
        <w:rPr>
          <w:sz w:val="26"/>
          <w:szCs w:val="26"/>
        </w:rPr>
        <w:t>числе</w:t>
      </w:r>
      <w:proofErr w:type="gramEnd"/>
      <w:r w:rsidRPr="006D67BE">
        <w:rPr>
          <w:sz w:val="26"/>
          <w:szCs w:val="26"/>
        </w:rPr>
        <w:t xml:space="preserve"> по ипотечным кредитам.</w:t>
      </w:r>
    </w:p>
    <w:p w:rsidR="00C85E65" w:rsidRPr="006D67BE" w:rsidRDefault="00C85E65" w:rsidP="00C85E65">
      <w:pPr>
        <w:ind w:firstLine="851"/>
        <w:jc w:val="both"/>
        <w:rPr>
          <w:sz w:val="26"/>
          <w:szCs w:val="26"/>
        </w:rPr>
      </w:pPr>
      <w:r w:rsidRPr="006D67BE">
        <w:rPr>
          <w:sz w:val="26"/>
          <w:szCs w:val="26"/>
        </w:rPr>
        <w:t xml:space="preserve">По состоянию на 30 декабря 2015 года от сотрудников организаций поступило                  645 заявлений на предоставление социальных выплат, в том числе </w:t>
      </w:r>
      <w:r w:rsidRPr="006D67BE">
        <w:rPr>
          <w:sz w:val="26"/>
          <w:szCs w:val="26"/>
        </w:rPr>
        <w:br/>
        <w:t xml:space="preserve">в 2012 году – 88, в 2013 году – 180, в 2014 году – 171, в 2015 году – 206. </w:t>
      </w:r>
    </w:p>
    <w:p w:rsidR="00C85E65" w:rsidRPr="006D67BE" w:rsidRDefault="00C85E65" w:rsidP="00C85E65">
      <w:pPr>
        <w:ind w:firstLine="851"/>
        <w:jc w:val="both"/>
        <w:rPr>
          <w:sz w:val="26"/>
          <w:szCs w:val="26"/>
        </w:rPr>
      </w:pPr>
      <w:proofErr w:type="gramStart"/>
      <w:r w:rsidRPr="006D67BE">
        <w:rPr>
          <w:sz w:val="26"/>
          <w:szCs w:val="26"/>
        </w:rPr>
        <w:t xml:space="preserve">За  период с 2012 по 2015 годы 599 сотрудникам организаций предоставлены социальные выплаты на общую сумму 124 540 367,47 рублей, из них: в 2012 году – 62 на сумму  12 488 689 рублей, в 2013 году – 142 на сумму 30 000 000 рублей, в 2014 году – </w:t>
      </w:r>
      <w:r w:rsidRPr="006D67BE">
        <w:rPr>
          <w:sz w:val="26"/>
          <w:szCs w:val="26"/>
        </w:rPr>
        <w:br/>
        <w:t xml:space="preserve">220 на сумму 46 389 223,7 рублей, в 2015 году – 175 на сумму </w:t>
      </w:r>
      <w:r w:rsidRPr="006D67BE">
        <w:rPr>
          <w:sz w:val="26"/>
          <w:szCs w:val="26"/>
        </w:rPr>
        <w:br/>
        <w:t>35 662</w:t>
      </w:r>
      <w:proofErr w:type="gramEnd"/>
      <w:r w:rsidRPr="006D67BE">
        <w:rPr>
          <w:sz w:val="26"/>
          <w:szCs w:val="26"/>
        </w:rPr>
        <w:t> 454,77 рублей.</w:t>
      </w:r>
    </w:p>
    <w:p w:rsidR="00C85E65" w:rsidRPr="006D67BE" w:rsidRDefault="00C85E65" w:rsidP="00325FEF">
      <w:pPr>
        <w:autoSpaceDE w:val="0"/>
        <w:autoSpaceDN w:val="0"/>
        <w:adjustRightInd w:val="0"/>
        <w:ind w:left="720"/>
        <w:jc w:val="both"/>
        <w:rPr>
          <w:i/>
          <w:sz w:val="26"/>
          <w:szCs w:val="26"/>
        </w:rPr>
      </w:pPr>
    </w:p>
    <w:p w:rsidR="00DC4204" w:rsidRPr="006D67BE" w:rsidRDefault="00DC4204" w:rsidP="00325FEF">
      <w:pPr>
        <w:autoSpaceDE w:val="0"/>
        <w:autoSpaceDN w:val="0"/>
        <w:adjustRightInd w:val="0"/>
        <w:ind w:left="720"/>
        <w:jc w:val="both"/>
        <w:rPr>
          <w:i/>
          <w:sz w:val="26"/>
          <w:szCs w:val="26"/>
        </w:rPr>
      </w:pPr>
    </w:p>
    <w:p w:rsidR="00EE7A1D" w:rsidRPr="006D67BE" w:rsidRDefault="00EE7A1D" w:rsidP="00EE7A1D">
      <w:pPr>
        <w:autoSpaceDE w:val="0"/>
        <w:autoSpaceDN w:val="0"/>
        <w:adjustRightInd w:val="0"/>
        <w:ind w:firstLine="426"/>
        <w:jc w:val="both"/>
        <w:rPr>
          <w:i/>
          <w:sz w:val="25"/>
          <w:szCs w:val="25"/>
        </w:rPr>
      </w:pPr>
      <w:r w:rsidRPr="006D67BE">
        <w:rPr>
          <w:i/>
          <w:sz w:val="25"/>
          <w:szCs w:val="25"/>
        </w:rPr>
        <w:t>Сведения о достижении значений показателей подпрограммы:</w:t>
      </w:r>
    </w:p>
    <w:p w:rsidR="00EE7A1D" w:rsidRPr="006D67BE" w:rsidRDefault="00EE7A1D" w:rsidP="00EE7A1D">
      <w:pPr>
        <w:autoSpaceDE w:val="0"/>
        <w:autoSpaceDN w:val="0"/>
        <w:adjustRightInd w:val="0"/>
        <w:ind w:firstLine="426"/>
        <w:jc w:val="both"/>
        <w:rPr>
          <w:sz w:val="26"/>
          <w:szCs w:val="26"/>
        </w:rPr>
      </w:pPr>
      <w:r w:rsidRPr="006D67BE">
        <w:rPr>
          <w:sz w:val="26"/>
          <w:szCs w:val="26"/>
        </w:rPr>
        <w:t xml:space="preserve">Наименование показателей подпрограммы с их характеристикой (отклонение факта </w:t>
      </w:r>
      <w:r w:rsidR="00965FDC">
        <w:rPr>
          <w:sz w:val="26"/>
          <w:szCs w:val="26"/>
        </w:rPr>
        <w:br/>
      </w:r>
      <w:r w:rsidRPr="006D67BE">
        <w:rPr>
          <w:sz w:val="26"/>
          <w:szCs w:val="26"/>
        </w:rPr>
        <w:t>от плана):</w:t>
      </w:r>
    </w:p>
    <w:p w:rsidR="00EE7A1D" w:rsidRPr="006D67BE" w:rsidRDefault="00EE7A1D" w:rsidP="00EE7A1D">
      <w:pPr>
        <w:pStyle w:val="a7"/>
        <w:numPr>
          <w:ilvl w:val="0"/>
          <w:numId w:val="13"/>
        </w:numPr>
        <w:tabs>
          <w:tab w:val="left" w:pos="284"/>
          <w:tab w:val="left" w:pos="993"/>
        </w:tabs>
        <w:autoSpaceDE w:val="0"/>
        <w:autoSpaceDN w:val="0"/>
        <w:adjustRightInd w:val="0"/>
        <w:ind w:left="0" w:firstLine="709"/>
        <w:jc w:val="both"/>
        <w:rPr>
          <w:i/>
          <w:sz w:val="26"/>
          <w:szCs w:val="26"/>
        </w:rPr>
      </w:pPr>
      <w:r w:rsidRPr="006D67BE">
        <w:rPr>
          <w:i/>
          <w:sz w:val="26"/>
          <w:szCs w:val="26"/>
        </w:rPr>
        <w:t>менее 100 %, в том числе:</w:t>
      </w:r>
    </w:p>
    <w:p w:rsidR="00EE7A1D" w:rsidRPr="006D67BE" w:rsidRDefault="00EE7A1D" w:rsidP="00EE7A1D">
      <w:pPr>
        <w:pStyle w:val="a7"/>
        <w:numPr>
          <w:ilvl w:val="0"/>
          <w:numId w:val="14"/>
        </w:numPr>
        <w:autoSpaceDE w:val="0"/>
        <w:autoSpaceDN w:val="0"/>
        <w:adjustRightInd w:val="0"/>
        <w:ind w:left="993" w:hanging="284"/>
        <w:rPr>
          <w:rFonts w:eastAsia="Calibri"/>
          <w:sz w:val="26"/>
          <w:szCs w:val="26"/>
        </w:rPr>
      </w:pPr>
      <w:r w:rsidRPr="006D67BE">
        <w:rPr>
          <w:rFonts w:eastAsia="Calibri"/>
          <w:sz w:val="26"/>
          <w:szCs w:val="26"/>
        </w:rPr>
        <w:t xml:space="preserve"> количество семей, улучшивших жилищные условия с помощью предоставленных ипотечных жилищных кредитов (займов);</w:t>
      </w:r>
    </w:p>
    <w:p w:rsidR="00EE7A1D" w:rsidRPr="006D67BE" w:rsidRDefault="00EE7A1D" w:rsidP="00EE7A1D">
      <w:pPr>
        <w:pStyle w:val="a7"/>
        <w:numPr>
          <w:ilvl w:val="0"/>
          <w:numId w:val="14"/>
        </w:numPr>
        <w:autoSpaceDE w:val="0"/>
        <w:autoSpaceDN w:val="0"/>
        <w:adjustRightInd w:val="0"/>
        <w:ind w:left="993" w:hanging="284"/>
        <w:rPr>
          <w:rFonts w:eastAsia="Calibri"/>
          <w:sz w:val="26"/>
          <w:szCs w:val="26"/>
        </w:rPr>
      </w:pPr>
      <w:r w:rsidRPr="006D67BE">
        <w:rPr>
          <w:rFonts w:eastAsia="Calibri"/>
          <w:sz w:val="26"/>
          <w:szCs w:val="26"/>
        </w:rPr>
        <w:t>объем предоставленных ипотечных кредитов (займов).</w:t>
      </w:r>
    </w:p>
    <w:p w:rsidR="00EE7A1D" w:rsidRPr="006D67BE" w:rsidRDefault="00EE7A1D" w:rsidP="00EE7A1D">
      <w:pPr>
        <w:autoSpaceDE w:val="0"/>
        <w:autoSpaceDN w:val="0"/>
        <w:adjustRightInd w:val="0"/>
        <w:ind w:left="720"/>
        <w:jc w:val="both"/>
        <w:rPr>
          <w:i/>
          <w:sz w:val="26"/>
          <w:szCs w:val="26"/>
        </w:rPr>
      </w:pPr>
      <w:r w:rsidRPr="006D67BE">
        <w:rPr>
          <w:i/>
          <w:sz w:val="26"/>
          <w:szCs w:val="26"/>
        </w:rPr>
        <w:t xml:space="preserve">Сведения о показателях подпрограммы представлены в </w:t>
      </w:r>
      <w:hyperlink r:id="rId7" w:history="1">
        <w:r w:rsidRPr="006D67BE">
          <w:rPr>
            <w:i/>
            <w:sz w:val="26"/>
            <w:szCs w:val="26"/>
          </w:rPr>
          <w:t xml:space="preserve">таблице </w:t>
        </w:r>
      </w:hyperlink>
      <w:r w:rsidRPr="006D67BE">
        <w:rPr>
          <w:i/>
          <w:sz w:val="26"/>
          <w:szCs w:val="26"/>
        </w:rPr>
        <w:t xml:space="preserve">№ 1. </w:t>
      </w:r>
    </w:p>
    <w:p w:rsidR="00EE7A1D" w:rsidRPr="006D67BE" w:rsidRDefault="00EE7A1D" w:rsidP="00EE7A1D">
      <w:pPr>
        <w:pStyle w:val="a7"/>
        <w:numPr>
          <w:ilvl w:val="0"/>
          <w:numId w:val="11"/>
        </w:numPr>
        <w:rPr>
          <w:b/>
          <w:sz w:val="25"/>
          <w:szCs w:val="25"/>
        </w:rPr>
      </w:pPr>
      <w:r w:rsidRPr="006D67BE">
        <w:rPr>
          <w:b/>
          <w:sz w:val="25"/>
          <w:szCs w:val="25"/>
        </w:rPr>
        <w:t>Перечень контрольных событий, выполненных и не выполненных (с указанием причин) в установленные сроки</w:t>
      </w:r>
    </w:p>
    <w:p w:rsidR="00EE7A1D" w:rsidRPr="006D67BE" w:rsidRDefault="00EE7A1D" w:rsidP="00EE7A1D">
      <w:pPr>
        <w:ind w:left="360"/>
        <w:rPr>
          <w:sz w:val="25"/>
          <w:szCs w:val="25"/>
        </w:rPr>
      </w:pPr>
      <w:r w:rsidRPr="006D67BE">
        <w:rPr>
          <w:sz w:val="25"/>
          <w:szCs w:val="25"/>
        </w:rPr>
        <w:t>Контрольные события в  подпрограмме на 2015 год не предусмотрены.</w:t>
      </w:r>
    </w:p>
    <w:p w:rsidR="00C85E65" w:rsidRPr="006D67BE" w:rsidRDefault="00C85E65" w:rsidP="00325FEF">
      <w:pPr>
        <w:autoSpaceDE w:val="0"/>
        <w:autoSpaceDN w:val="0"/>
        <w:adjustRightInd w:val="0"/>
        <w:ind w:left="720"/>
        <w:jc w:val="both"/>
        <w:rPr>
          <w:i/>
          <w:sz w:val="26"/>
          <w:szCs w:val="26"/>
        </w:rPr>
      </w:pPr>
    </w:p>
    <w:p w:rsidR="007B6179" w:rsidRPr="006D67BE" w:rsidRDefault="007B6179" w:rsidP="00463DE8">
      <w:pPr>
        <w:pStyle w:val="a7"/>
        <w:numPr>
          <w:ilvl w:val="0"/>
          <w:numId w:val="11"/>
        </w:numPr>
        <w:rPr>
          <w:b/>
          <w:sz w:val="25"/>
          <w:szCs w:val="25"/>
        </w:rPr>
      </w:pPr>
      <w:r w:rsidRPr="006D67BE">
        <w:rPr>
          <w:b/>
          <w:sz w:val="25"/>
          <w:szCs w:val="25"/>
        </w:rPr>
        <w:t>Анализ факторов, повлиявших на ход реализации подпрограммы</w:t>
      </w:r>
    </w:p>
    <w:p w:rsidR="00236570" w:rsidRPr="006D67BE" w:rsidRDefault="007B6179" w:rsidP="007B6179">
      <w:pPr>
        <w:pStyle w:val="ConsPlusNormal"/>
        <w:ind w:left="360" w:firstLine="0"/>
        <w:jc w:val="both"/>
        <w:rPr>
          <w:rFonts w:ascii="Times New Roman" w:hAnsi="Times New Roman" w:cs="Times New Roman"/>
          <w:i/>
          <w:sz w:val="25"/>
          <w:szCs w:val="25"/>
        </w:rPr>
      </w:pPr>
      <w:r w:rsidRPr="006D67BE">
        <w:rPr>
          <w:rFonts w:ascii="Times New Roman" w:hAnsi="Times New Roman" w:cs="Times New Roman"/>
          <w:i/>
          <w:sz w:val="25"/>
          <w:szCs w:val="25"/>
        </w:rPr>
        <w:t xml:space="preserve">Факторы, </w:t>
      </w:r>
      <w:r w:rsidR="00C85E65" w:rsidRPr="006D67BE">
        <w:rPr>
          <w:rFonts w:ascii="Times New Roman" w:hAnsi="Times New Roman" w:cs="Times New Roman"/>
          <w:i/>
          <w:sz w:val="25"/>
          <w:szCs w:val="25"/>
        </w:rPr>
        <w:t xml:space="preserve">отрицательно </w:t>
      </w:r>
      <w:r w:rsidRPr="006D67BE">
        <w:rPr>
          <w:rFonts w:ascii="Times New Roman" w:hAnsi="Times New Roman" w:cs="Times New Roman"/>
          <w:i/>
          <w:sz w:val="25"/>
          <w:szCs w:val="25"/>
        </w:rPr>
        <w:t>повлиявшие на ход реализации подпрограммы</w:t>
      </w:r>
    </w:p>
    <w:p w:rsidR="002A37C6" w:rsidRPr="006D67BE" w:rsidRDefault="00C85E65" w:rsidP="00C85E65">
      <w:pPr>
        <w:pStyle w:val="ConsPlusNormal"/>
        <w:numPr>
          <w:ilvl w:val="0"/>
          <w:numId w:val="15"/>
        </w:numPr>
        <w:jc w:val="both"/>
        <w:rPr>
          <w:rFonts w:ascii="Times New Roman" w:eastAsia="Calibri" w:hAnsi="Times New Roman" w:cs="Times New Roman"/>
          <w:sz w:val="26"/>
          <w:szCs w:val="26"/>
        </w:rPr>
      </w:pPr>
      <w:r w:rsidRPr="006D67BE">
        <w:rPr>
          <w:rFonts w:ascii="Times New Roman" w:eastAsia="Calibri" w:hAnsi="Times New Roman" w:cs="Times New Roman"/>
          <w:sz w:val="26"/>
          <w:szCs w:val="26"/>
        </w:rPr>
        <w:t>р</w:t>
      </w:r>
      <w:r w:rsidR="002A37C6" w:rsidRPr="006D67BE">
        <w:rPr>
          <w:rFonts w:ascii="Times New Roman" w:eastAsia="Calibri" w:hAnsi="Times New Roman" w:cs="Times New Roman"/>
          <w:sz w:val="26"/>
          <w:szCs w:val="26"/>
        </w:rPr>
        <w:t>ост средневзвешенной ставки по ипотечному кредиту – 13,33%;</w:t>
      </w:r>
    </w:p>
    <w:p w:rsidR="002A37C6" w:rsidRPr="006D67BE" w:rsidRDefault="00C85E65" w:rsidP="00C85E65">
      <w:pPr>
        <w:pStyle w:val="ConsPlusNormal"/>
        <w:numPr>
          <w:ilvl w:val="0"/>
          <w:numId w:val="15"/>
        </w:numPr>
        <w:jc w:val="both"/>
        <w:rPr>
          <w:rFonts w:ascii="Times New Roman" w:eastAsia="Calibri" w:hAnsi="Times New Roman" w:cs="Times New Roman"/>
          <w:sz w:val="26"/>
          <w:szCs w:val="26"/>
        </w:rPr>
      </w:pPr>
      <w:r w:rsidRPr="006D67BE">
        <w:rPr>
          <w:rFonts w:ascii="Times New Roman" w:eastAsia="Calibri" w:hAnsi="Times New Roman" w:cs="Times New Roman"/>
          <w:sz w:val="26"/>
          <w:szCs w:val="26"/>
        </w:rPr>
        <w:t>с</w:t>
      </w:r>
      <w:r w:rsidR="002A37C6" w:rsidRPr="006D67BE">
        <w:rPr>
          <w:rFonts w:ascii="Times New Roman" w:eastAsia="Calibri" w:hAnsi="Times New Roman" w:cs="Times New Roman"/>
          <w:sz w:val="26"/>
          <w:szCs w:val="26"/>
        </w:rPr>
        <w:t>нижение доходов населения</w:t>
      </w:r>
    </w:p>
    <w:p w:rsidR="00726711" w:rsidRPr="006D67BE" w:rsidRDefault="00965FDC" w:rsidP="001717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p>
    <w:p w:rsidR="00726711" w:rsidRPr="006D67BE" w:rsidRDefault="007B6179" w:rsidP="00463DE8">
      <w:pPr>
        <w:pStyle w:val="a7"/>
        <w:numPr>
          <w:ilvl w:val="0"/>
          <w:numId w:val="11"/>
        </w:numPr>
        <w:rPr>
          <w:b/>
          <w:sz w:val="25"/>
          <w:szCs w:val="25"/>
        </w:rPr>
      </w:pPr>
      <w:r w:rsidRPr="006D67BE">
        <w:rPr>
          <w:b/>
          <w:sz w:val="25"/>
          <w:szCs w:val="25"/>
        </w:rPr>
        <w:t xml:space="preserve">Использование бюджетных ассигнований и средств из иных источников, направленных </w:t>
      </w:r>
      <w:r w:rsidR="00726711" w:rsidRPr="006D67BE">
        <w:rPr>
          <w:b/>
          <w:sz w:val="25"/>
          <w:szCs w:val="25"/>
        </w:rPr>
        <w:t>н</w:t>
      </w:r>
      <w:r w:rsidRPr="006D67BE">
        <w:rPr>
          <w:b/>
          <w:sz w:val="25"/>
          <w:szCs w:val="25"/>
        </w:rPr>
        <w:t>а реализацию подпрограммы</w:t>
      </w:r>
      <w:r w:rsidR="00726711" w:rsidRPr="006D67BE">
        <w:rPr>
          <w:b/>
          <w:sz w:val="25"/>
          <w:szCs w:val="25"/>
        </w:rPr>
        <w:t xml:space="preserve"> </w:t>
      </w:r>
    </w:p>
    <w:p w:rsidR="00726711" w:rsidRPr="006D67BE" w:rsidRDefault="00726711" w:rsidP="001C1F12">
      <w:pPr>
        <w:ind w:firstLine="360"/>
        <w:jc w:val="both"/>
        <w:rPr>
          <w:sz w:val="25"/>
          <w:szCs w:val="25"/>
        </w:rPr>
      </w:pPr>
      <w:r w:rsidRPr="006D67BE">
        <w:rPr>
          <w:sz w:val="25"/>
          <w:szCs w:val="25"/>
        </w:rPr>
        <w:t>На финансирование мероприятий подпрограммы направлено</w:t>
      </w:r>
      <w:r w:rsidR="001C1F12" w:rsidRPr="006D67BE">
        <w:rPr>
          <w:sz w:val="25"/>
          <w:szCs w:val="25"/>
        </w:rPr>
        <w:t xml:space="preserve"> из </w:t>
      </w:r>
      <w:r w:rsidRPr="006D67BE">
        <w:rPr>
          <w:sz w:val="25"/>
          <w:szCs w:val="25"/>
        </w:rPr>
        <w:t>средст</w:t>
      </w:r>
      <w:r w:rsidR="00572D66" w:rsidRPr="006D67BE">
        <w:rPr>
          <w:sz w:val="25"/>
          <w:szCs w:val="25"/>
        </w:rPr>
        <w:t xml:space="preserve">в областного бюджета  -  </w:t>
      </w:r>
      <w:r w:rsidR="00724B1A" w:rsidRPr="006D67BE">
        <w:rPr>
          <w:rFonts w:eastAsia="Courier New CYR"/>
          <w:sz w:val="26"/>
          <w:szCs w:val="26"/>
        </w:rPr>
        <w:t>35</w:t>
      </w:r>
      <w:r w:rsidR="00325FEF" w:rsidRPr="006D67BE">
        <w:rPr>
          <w:rFonts w:eastAsia="Courier New CYR"/>
          <w:sz w:val="26"/>
          <w:szCs w:val="26"/>
        </w:rPr>
        <w:t> </w:t>
      </w:r>
      <w:r w:rsidR="00724B1A" w:rsidRPr="006D67BE">
        <w:rPr>
          <w:rFonts w:eastAsia="Courier New CYR"/>
          <w:sz w:val="26"/>
          <w:szCs w:val="26"/>
        </w:rPr>
        <w:t>662</w:t>
      </w:r>
      <w:r w:rsidR="00325FEF" w:rsidRPr="006D67BE">
        <w:rPr>
          <w:rFonts w:eastAsia="Courier New CYR"/>
          <w:sz w:val="26"/>
          <w:szCs w:val="26"/>
        </w:rPr>
        <w:t>,45</w:t>
      </w:r>
      <w:r w:rsidR="00724B1A" w:rsidRPr="006D67BE">
        <w:rPr>
          <w:rFonts w:eastAsia="Courier New CYR"/>
          <w:sz w:val="26"/>
          <w:szCs w:val="26"/>
        </w:rPr>
        <w:t xml:space="preserve"> </w:t>
      </w:r>
      <w:r w:rsidRPr="006D67BE">
        <w:rPr>
          <w:sz w:val="25"/>
          <w:szCs w:val="25"/>
        </w:rPr>
        <w:t xml:space="preserve"> тыс. руб</w:t>
      </w:r>
      <w:r w:rsidR="00325FEF" w:rsidRPr="006D67BE">
        <w:rPr>
          <w:sz w:val="25"/>
          <w:szCs w:val="25"/>
        </w:rPr>
        <w:t>лей</w:t>
      </w:r>
      <w:r w:rsidR="001C1F12" w:rsidRPr="006D67BE">
        <w:rPr>
          <w:sz w:val="25"/>
          <w:szCs w:val="25"/>
        </w:rPr>
        <w:t>.</w:t>
      </w:r>
    </w:p>
    <w:p w:rsidR="00236570" w:rsidRPr="006D67BE" w:rsidRDefault="00236570" w:rsidP="00236570">
      <w:pPr>
        <w:autoSpaceDE w:val="0"/>
        <w:autoSpaceDN w:val="0"/>
        <w:adjustRightInd w:val="0"/>
        <w:ind w:firstLine="709"/>
        <w:jc w:val="both"/>
        <w:rPr>
          <w:i/>
          <w:sz w:val="26"/>
          <w:szCs w:val="26"/>
        </w:rPr>
      </w:pPr>
      <w:r w:rsidRPr="006D67BE">
        <w:rPr>
          <w:i/>
          <w:sz w:val="26"/>
          <w:szCs w:val="26"/>
        </w:rPr>
        <w:t>Данные об использовании бюджетных и иных средств на реализацию мероприятий подпрограммы представлены в таблице № 2.</w:t>
      </w:r>
    </w:p>
    <w:p w:rsidR="00236570" w:rsidRPr="006D67BE" w:rsidRDefault="00236570" w:rsidP="00463DE8">
      <w:pPr>
        <w:pStyle w:val="a7"/>
        <w:numPr>
          <w:ilvl w:val="0"/>
          <w:numId w:val="11"/>
        </w:numPr>
        <w:rPr>
          <w:b/>
          <w:sz w:val="25"/>
          <w:szCs w:val="25"/>
        </w:rPr>
      </w:pPr>
      <w:r w:rsidRPr="006D67BE">
        <w:rPr>
          <w:b/>
          <w:sz w:val="25"/>
          <w:szCs w:val="25"/>
        </w:rPr>
        <w:t>Оценка результативности и эффективности подпрограммы.</w:t>
      </w:r>
    </w:p>
    <w:p w:rsidR="00236570" w:rsidRPr="006D67BE" w:rsidRDefault="00236570" w:rsidP="00236570">
      <w:pPr>
        <w:tabs>
          <w:tab w:val="left" w:pos="0"/>
        </w:tabs>
        <w:jc w:val="both"/>
        <w:rPr>
          <w:sz w:val="25"/>
          <w:szCs w:val="25"/>
        </w:rPr>
      </w:pPr>
      <w:r w:rsidRPr="006D67BE">
        <w:rPr>
          <w:sz w:val="26"/>
          <w:szCs w:val="26"/>
        </w:rPr>
        <w:tab/>
      </w:r>
      <w:r w:rsidR="002B1081" w:rsidRPr="006D67BE">
        <w:rPr>
          <w:color w:val="000000"/>
          <w:sz w:val="26"/>
          <w:szCs w:val="26"/>
        </w:rPr>
        <w:t xml:space="preserve">В соответствии с Порядком проведения оценки эффективности реализации государственных программ Калужской области, утвержденным постановлением Правительства Калужской области от 17.07.2013 № 366, реализация </w:t>
      </w:r>
      <w:r w:rsidR="002B1081" w:rsidRPr="006D67BE">
        <w:rPr>
          <w:sz w:val="25"/>
          <w:szCs w:val="25"/>
        </w:rPr>
        <w:t xml:space="preserve">подпрограммы </w:t>
      </w:r>
      <w:r w:rsidR="002B1081" w:rsidRPr="006D67BE">
        <w:rPr>
          <w:color w:val="000000"/>
          <w:sz w:val="26"/>
          <w:szCs w:val="26"/>
        </w:rPr>
        <w:t>в 2015 году</w:t>
      </w:r>
      <w:r w:rsidR="002B1081" w:rsidRPr="006D67BE">
        <w:rPr>
          <w:sz w:val="25"/>
          <w:szCs w:val="25"/>
        </w:rPr>
        <w:t xml:space="preserve"> характеризуется высоким уровнем эффективности – 95%. </w:t>
      </w:r>
    </w:p>
    <w:p w:rsidR="002B1081" w:rsidRPr="006D67BE" w:rsidRDefault="002B1081" w:rsidP="002B1081">
      <w:pPr>
        <w:tabs>
          <w:tab w:val="left" w:pos="709"/>
          <w:tab w:val="left" w:pos="10206"/>
        </w:tabs>
        <w:ind w:right="-2" w:firstLine="567"/>
        <w:jc w:val="both"/>
        <w:rPr>
          <w:i/>
          <w:sz w:val="26"/>
          <w:szCs w:val="26"/>
        </w:rPr>
      </w:pPr>
      <w:r w:rsidRPr="006D67BE">
        <w:rPr>
          <w:i/>
          <w:sz w:val="26"/>
          <w:szCs w:val="26"/>
        </w:rPr>
        <w:t xml:space="preserve">Расчет оценки эффективности реализации подпрограммы представлен в таблице </w:t>
      </w:r>
      <w:r w:rsidRPr="006D67BE">
        <w:rPr>
          <w:i/>
          <w:sz w:val="26"/>
          <w:szCs w:val="26"/>
        </w:rPr>
        <w:br/>
        <w:t xml:space="preserve"> № 3.6.</w:t>
      </w:r>
    </w:p>
    <w:p w:rsidR="002B1081" w:rsidRPr="006D67BE" w:rsidRDefault="002B1081" w:rsidP="00236570">
      <w:pPr>
        <w:tabs>
          <w:tab w:val="left" w:pos="0"/>
        </w:tabs>
        <w:jc w:val="both"/>
        <w:rPr>
          <w:sz w:val="26"/>
          <w:szCs w:val="26"/>
        </w:rPr>
      </w:pPr>
    </w:p>
    <w:sectPr w:rsidR="002B1081" w:rsidRPr="006D67BE" w:rsidSect="00DF7D57">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936"/>
    <w:multiLevelType w:val="hybridMultilevel"/>
    <w:tmpl w:val="3DA2FBAC"/>
    <w:lvl w:ilvl="0" w:tplc="12E41D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8515E"/>
    <w:multiLevelType w:val="hybridMultilevel"/>
    <w:tmpl w:val="697E7BF6"/>
    <w:lvl w:ilvl="0" w:tplc="951CD370">
      <w:start w:val="1"/>
      <w:numFmt w:val="bullet"/>
      <w:lvlText w:val=""/>
      <w:lvlJc w:val="left"/>
      <w:pPr>
        <w:ind w:left="1070" w:hanging="360"/>
      </w:pPr>
      <w:rPr>
        <w:rFonts w:ascii="Symbol" w:hAnsi="Symbol" w:hint="default"/>
        <w:sz w:val="16"/>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0FC5E2C"/>
    <w:multiLevelType w:val="hybridMultilevel"/>
    <w:tmpl w:val="E04E9CCE"/>
    <w:lvl w:ilvl="0" w:tplc="951CD3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24D51"/>
    <w:multiLevelType w:val="hybridMultilevel"/>
    <w:tmpl w:val="D5048214"/>
    <w:lvl w:ilvl="0" w:tplc="A64883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4571A6"/>
    <w:multiLevelType w:val="hybridMultilevel"/>
    <w:tmpl w:val="81BC78C2"/>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E72FDF"/>
    <w:multiLevelType w:val="hybridMultilevel"/>
    <w:tmpl w:val="5B52BD7A"/>
    <w:lvl w:ilvl="0" w:tplc="951CD3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9061CB4"/>
    <w:multiLevelType w:val="hybridMultilevel"/>
    <w:tmpl w:val="92684E22"/>
    <w:lvl w:ilvl="0" w:tplc="23E681C4">
      <w:start w:val="1"/>
      <w:numFmt w:val="bullet"/>
      <w:lvlText w:val=""/>
      <w:lvlJc w:val="left"/>
      <w:pPr>
        <w:ind w:left="4330"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EE29B4"/>
    <w:multiLevelType w:val="hybridMultilevel"/>
    <w:tmpl w:val="35F426A2"/>
    <w:lvl w:ilvl="0" w:tplc="951CD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100AC8"/>
    <w:multiLevelType w:val="hybridMultilevel"/>
    <w:tmpl w:val="59B62726"/>
    <w:lvl w:ilvl="0" w:tplc="85A0D79A">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E65510"/>
    <w:multiLevelType w:val="hybridMultilevel"/>
    <w:tmpl w:val="33582C3A"/>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8B3419"/>
    <w:multiLevelType w:val="hybridMultilevel"/>
    <w:tmpl w:val="A692DA42"/>
    <w:lvl w:ilvl="0" w:tplc="DB02813E">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1131F1"/>
    <w:multiLevelType w:val="hybridMultilevel"/>
    <w:tmpl w:val="4566B95E"/>
    <w:lvl w:ilvl="0" w:tplc="A64883A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79754CD"/>
    <w:multiLevelType w:val="hybridMultilevel"/>
    <w:tmpl w:val="FEBE4998"/>
    <w:lvl w:ilvl="0" w:tplc="951CD3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960408"/>
    <w:multiLevelType w:val="hybridMultilevel"/>
    <w:tmpl w:val="2052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3B07C4"/>
    <w:multiLevelType w:val="hybridMultilevel"/>
    <w:tmpl w:val="553C744C"/>
    <w:lvl w:ilvl="0" w:tplc="85A0D79A">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A7844"/>
    <w:multiLevelType w:val="hybridMultilevel"/>
    <w:tmpl w:val="00AC3EDE"/>
    <w:lvl w:ilvl="0" w:tplc="85A0D79A">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7D1516"/>
    <w:multiLevelType w:val="hybridMultilevel"/>
    <w:tmpl w:val="2D2068FC"/>
    <w:lvl w:ilvl="0" w:tplc="951CD3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6"/>
  </w:num>
  <w:num w:numId="4">
    <w:abstractNumId w:val="13"/>
  </w:num>
  <w:num w:numId="5">
    <w:abstractNumId w:val="16"/>
  </w:num>
  <w:num w:numId="6">
    <w:abstractNumId w:val="8"/>
  </w:num>
  <w:num w:numId="7">
    <w:abstractNumId w:val="15"/>
  </w:num>
  <w:num w:numId="8">
    <w:abstractNumId w:val="2"/>
  </w:num>
  <w:num w:numId="9">
    <w:abstractNumId w:val="0"/>
  </w:num>
  <w:num w:numId="10">
    <w:abstractNumId w:val="7"/>
  </w:num>
  <w:num w:numId="11">
    <w:abstractNumId w:val="10"/>
  </w:num>
  <w:num w:numId="12">
    <w:abstractNumId w:val="5"/>
  </w:num>
  <w:num w:numId="13">
    <w:abstractNumId w:val="1"/>
  </w:num>
  <w:num w:numId="14">
    <w:abstractNumId w:val="4"/>
  </w:num>
  <w:num w:numId="15">
    <w:abstractNumId w:val="9"/>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09"/>
    <w:rsid w:val="0002472B"/>
    <w:rsid w:val="00081558"/>
    <w:rsid w:val="000F68BD"/>
    <w:rsid w:val="00154D71"/>
    <w:rsid w:val="001677D6"/>
    <w:rsid w:val="001717AE"/>
    <w:rsid w:val="00175FC4"/>
    <w:rsid w:val="001858BF"/>
    <w:rsid w:val="001C1F12"/>
    <w:rsid w:val="00201A92"/>
    <w:rsid w:val="00220A88"/>
    <w:rsid w:val="00231510"/>
    <w:rsid w:val="00236570"/>
    <w:rsid w:val="00241F67"/>
    <w:rsid w:val="00277161"/>
    <w:rsid w:val="002A37C6"/>
    <w:rsid w:val="002A3CFC"/>
    <w:rsid w:val="002B1081"/>
    <w:rsid w:val="002D492E"/>
    <w:rsid w:val="002D6222"/>
    <w:rsid w:val="002F3714"/>
    <w:rsid w:val="00325FEF"/>
    <w:rsid w:val="00326970"/>
    <w:rsid w:val="00360B0D"/>
    <w:rsid w:val="00392EDD"/>
    <w:rsid w:val="003A1B0B"/>
    <w:rsid w:val="003B2ECA"/>
    <w:rsid w:val="00446360"/>
    <w:rsid w:val="00456E36"/>
    <w:rsid w:val="00461558"/>
    <w:rsid w:val="00463DE8"/>
    <w:rsid w:val="00482CC4"/>
    <w:rsid w:val="004B26C5"/>
    <w:rsid w:val="0052797A"/>
    <w:rsid w:val="0053202F"/>
    <w:rsid w:val="00547CE7"/>
    <w:rsid w:val="005535F5"/>
    <w:rsid w:val="00572D66"/>
    <w:rsid w:val="00590510"/>
    <w:rsid w:val="00591C6C"/>
    <w:rsid w:val="00632A10"/>
    <w:rsid w:val="00677DD2"/>
    <w:rsid w:val="006D67BE"/>
    <w:rsid w:val="007234A7"/>
    <w:rsid w:val="007249FA"/>
    <w:rsid w:val="00724B1A"/>
    <w:rsid w:val="00726711"/>
    <w:rsid w:val="007313BA"/>
    <w:rsid w:val="007B6179"/>
    <w:rsid w:val="007C15F4"/>
    <w:rsid w:val="0083658A"/>
    <w:rsid w:val="00865B83"/>
    <w:rsid w:val="00867893"/>
    <w:rsid w:val="00867BEA"/>
    <w:rsid w:val="008A6CC1"/>
    <w:rsid w:val="008D1000"/>
    <w:rsid w:val="008E6C95"/>
    <w:rsid w:val="008F6567"/>
    <w:rsid w:val="00942A20"/>
    <w:rsid w:val="00965FDC"/>
    <w:rsid w:val="009850C8"/>
    <w:rsid w:val="009C2EDE"/>
    <w:rsid w:val="009E205B"/>
    <w:rsid w:val="00A022F1"/>
    <w:rsid w:val="00A971D9"/>
    <w:rsid w:val="00AB2D08"/>
    <w:rsid w:val="00B42909"/>
    <w:rsid w:val="00B93DD6"/>
    <w:rsid w:val="00BA1BFD"/>
    <w:rsid w:val="00BE4029"/>
    <w:rsid w:val="00BF061A"/>
    <w:rsid w:val="00C27676"/>
    <w:rsid w:val="00C56F96"/>
    <w:rsid w:val="00C76610"/>
    <w:rsid w:val="00C82A00"/>
    <w:rsid w:val="00C85E65"/>
    <w:rsid w:val="00CE3EF7"/>
    <w:rsid w:val="00D153EF"/>
    <w:rsid w:val="00D62ED4"/>
    <w:rsid w:val="00D93E79"/>
    <w:rsid w:val="00DC06DA"/>
    <w:rsid w:val="00DC4204"/>
    <w:rsid w:val="00DD3B47"/>
    <w:rsid w:val="00DE05A5"/>
    <w:rsid w:val="00DF7D57"/>
    <w:rsid w:val="00E27F37"/>
    <w:rsid w:val="00E600BA"/>
    <w:rsid w:val="00E81885"/>
    <w:rsid w:val="00EA5407"/>
    <w:rsid w:val="00EB5287"/>
    <w:rsid w:val="00EB5A74"/>
    <w:rsid w:val="00EE7A1D"/>
    <w:rsid w:val="00F011E5"/>
    <w:rsid w:val="00F5671E"/>
    <w:rsid w:val="00FC44BA"/>
    <w:rsid w:val="00FF3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09"/>
    <w:rPr>
      <w:rFonts w:ascii="Times New Roman" w:eastAsia="Times New Roman" w:hAnsi="Times New Roman"/>
      <w:sz w:val="24"/>
      <w:szCs w:val="24"/>
    </w:rPr>
  </w:style>
  <w:style w:type="paragraph" w:styleId="1">
    <w:name w:val="heading 1"/>
    <w:basedOn w:val="a"/>
    <w:next w:val="a"/>
    <w:link w:val="10"/>
    <w:qFormat/>
    <w:locked/>
    <w:rsid w:val="00C76610"/>
    <w:pPr>
      <w:keepNext/>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42909"/>
    <w:pPr>
      <w:jc w:val="center"/>
    </w:pPr>
    <w:rPr>
      <w:b/>
      <w:sz w:val="26"/>
      <w:szCs w:val="20"/>
    </w:rPr>
  </w:style>
  <w:style w:type="character" w:customStyle="1" w:styleId="a4">
    <w:name w:val="Название Знак"/>
    <w:link w:val="a3"/>
    <w:uiPriority w:val="99"/>
    <w:locked/>
    <w:rsid w:val="00B42909"/>
    <w:rPr>
      <w:rFonts w:ascii="Times New Roman" w:hAnsi="Times New Roman" w:cs="Times New Roman"/>
      <w:b/>
      <w:sz w:val="20"/>
      <w:szCs w:val="20"/>
      <w:lang w:eastAsia="ru-RU"/>
    </w:rPr>
  </w:style>
  <w:style w:type="paragraph" w:styleId="a5">
    <w:name w:val="Body Text"/>
    <w:basedOn w:val="a"/>
    <w:link w:val="a6"/>
    <w:rsid w:val="00B42909"/>
    <w:pPr>
      <w:framePr w:w="9295" w:h="901" w:hSpace="180" w:wrap="around" w:vAnchor="text" w:hAnchor="page" w:x="1452" w:y="5766"/>
      <w:pBdr>
        <w:top w:val="single" w:sz="6" w:space="1" w:color="auto"/>
        <w:left w:val="single" w:sz="6" w:space="1" w:color="auto"/>
        <w:bottom w:val="single" w:sz="6" w:space="1" w:color="auto"/>
        <w:right w:val="single" w:sz="6" w:space="1" w:color="auto"/>
      </w:pBdr>
    </w:pPr>
    <w:rPr>
      <w:sz w:val="26"/>
      <w:szCs w:val="20"/>
    </w:rPr>
  </w:style>
  <w:style w:type="character" w:customStyle="1" w:styleId="a6">
    <w:name w:val="Основной текст Знак"/>
    <w:link w:val="a5"/>
    <w:locked/>
    <w:rsid w:val="00B42909"/>
    <w:rPr>
      <w:rFonts w:ascii="Times New Roman" w:hAnsi="Times New Roman" w:cs="Times New Roman"/>
      <w:sz w:val="20"/>
      <w:szCs w:val="20"/>
      <w:lang w:eastAsia="ru-RU"/>
    </w:rPr>
  </w:style>
  <w:style w:type="paragraph" w:styleId="a7">
    <w:name w:val="List Paragraph"/>
    <w:basedOn w:val="a"/>
    <w:uiPriority w:val="34"/>
    <w:qFormat/>
    <w:rsid w:val="004B26C5"/>
    <w:pPr>
      <w:ind w:left="720"/>
      <w:contextualSpacing/>
    </w:pPr>
  </w:style>
  <w:style w:type="character" w:customStyle="1" w:styleId="10">
    <w:name w:val="Заголовок 1 Знак"/>
    <w:link w:val="1"/>
    <w:rsid w:val="00C76610"/>
    <w:rPr>
      <w:rFonts w:ascii="Times New Roman" w:eastAsia="Times New Roman" w:hAnsi="Times New Roman"/>
      <w:b/>
      <w:bCs/>
      <w:sz w:val="26"/>
      <w:szCs w:val="24"/>
    </w:rPr>
  </w:style>
  <w:style w:type="paragraph" w:customStyle="1" w:styleId="11">
    <w:name w:val="Основной текст1"/>
    <w:basedOn w:val="a"/>
    <w:rsid w:val="00C76610"/>
    <w:pPr>
      <w:shd w:val="clear" w:color="auto" w:fill="FFFFFF"/>
      <w:spacing w:before="240" w:line="581" w:lineRule="exact"/>
      <w:jc w:val="both"/>
    </w:pPr>
    <w:rPr>
      <w:color w:val="000000"/>
      <w:lang w:val="ru"/>
    </w:rPr>
  </w:style>
  <w:style w:type="paragraph" w:customStyle="1" w:styleId="ConsPlusNormal">
    <w:name w:val="ConsPlusNormal"/>
    <w:rsid w:val="001717AE"/>
    <w:pPr>
      <w:autoSpaceDE w:val="0"/>
      <w:autoSpaceDN w:val="0"/>
      <w:adjustRightInd w:val="0"/>
      <w:ind w:firstLine="720"/>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09"/>
    <w:rPr>
      <w:rFonts w:ascii="Times New Roman" w:eastAsia="Times New Roman" w:hAnsi="Times New Roman"/>
      <w:sz w:val="24"/>
      <w:szCs w:val="24"/>
    </w:rPr>
  </w:style>
  <w:style w:type="paragraph" w:styleId="1">
    <w:name w:val="heading 1"/>
    <w:basedOn w:val="a"/>
    <w:next w:val="a"/>
    <w:link w:val="10"/>
    <w:qFormat/>
    <w:locked/>
    <w:rsid w:val="00C76610"/>
    <w:pPr>
      <w:keepNext/>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42909"/>
    <w:pPr>
      <w:jc w:val="center"/>
    </w:pPr>
    <w:rPr>
      <w:b/>
      <w:sz w:val="26"/>
      <w:szCs w:val="20"/>
    </w:rPr>
  </w:style>
  <w:style w:type="character" w:customStyle="1" w:styleId="a4">
    <w:name w:val="Название Знак"/>
    <w:link w:val="a3"/>
    <w:uiPriority w:val="99"/>
    <w:locked/>
    <w:rsid w:val="00B42909"/>
    <w:rPr>
      <w:rFonts w:ascii="Times New Roman" w:hAnsi="Times New Roman" w:cs="Times New Roman"/>
      <w:b/>
      <w:sz w:val="20"/>
      <w:szCs w:val="20"/>
      <w:lang w:eastAsia="ru-RU"/>
    </w:rPr>
  </w:style>
  <w:style w:type="paragraph" w:styleId="a5">
    <w:name w:val="Body Text"/>
    <w:basedOn w:val="a"/>
    <w:link w:val="a6"/>
    <w:rsid w:val="00B42909"/>
    <w:pPr>
      <w:framePr w:w="9295" w:h="901" w:hSpace="180" w:wrap="around" w:vAnchor="text" w:hAnchor="page" w:x="1452" w:y="5766"/>
      <w:pBdr>
        <w:top w:val="single" w:sz="6" w:space="1" w:color="auto"/>
        <w:left w:val="single" w:sz="6" w:space="1" w:color="auto"/>
        <w:bottom w:val="single" w:sz="6" w:space="1" w:color="auto"/>
        <w:right w:val="single" w:sz="6" w:space="1" w:color="auto"/>
      </w:pBdr>
    </w:pPr>
    <w:rPr>
      <w:sz w:val="26"/>
      <w:szCs w:val="20"/>
    </w:rPr>
  </w:style>
  <w:style w:type="character" w:customStyle="1" w:styleId="a6">
    <w:name w:val="Основной текст Знак"/>
    <w:link w:val="a5"/>
    <w:locked/>
    <w:rsid w:val="00B42909"/>
    <w:rPr>
      <w:rFonts w:ascii="Times New Roman" w:hAnsi="Times New Roman" w:cs="Times New Roman"/>
      <w:sz w:val="20"/>
      <w:szCs w:val="20"/>
      <w:lang w:eastAsia="ru-RU"/>
    </w:rPr>
  </w:style>
  <w:style w:type="paragraph" w:styleId="a7">
    <w:name w:val="List Paragraph"/>
    <w:basedOn w:val="a"/>
    <w:uiPriority w:val="34"/>
    <w:qFormat/>
    <w:rsid w:val="004B26C5"/>
    <w:pPr>
      <w:ind w:left="720"/>
      <w:contextualSpacing/>
    </w:pPr>
  </w:style>
  <w:style w:type="character" w:customStyle="1" w:styleId="10">
    <w:name w:val="Заголовок 1 Знак"/>
    <w:link w:val="1"/>
    <w:rsid w:val="00C76610"/>
    <w:rPr>
      <w:rFonts w:ascii="Times New Roman" w:eastAsia="Times New Roman" w:hAnsi="Times New Roman"/>
      <w:b/>
      <w:bCs/>
      <w:sz w:val="26"/>
      <w:szCs w:val="24"/>
    </w:rPr>
  </w:style>
  <w:style w:type="paragraph" w:customStyle="1" w:styleId="11">
    <w:name w:val="Основной текст1"/>
    <w:basedOn w:val="a"/>
    <w:rsid w:val="00C76610"/>
    <w:pPr>
      <w:shd w:val="clear" w:color="auto" w:fill="FFFFFF"/>
      <w:spacing w:before="240" w:line="581" w:lineRule="exact"/>
      <w:jc w:val="both"/>
    </w:pPr>
    <w:rPr>
      <w:color w:val="000000"/>
      <w:lang w:val="ru"/>
    </w:rPr>
  </w:style>
  <w:style w:type="paragraph" w:customStyle="1" w:styleId="ConsPlusNormal">
    <w:name w:val="ConsPlusNormal"/>
    <w:rsid w:val="001717AE"/>
    <w:pPr>
      <w:autoSpaceDE w:val="0"/>
      <w:autoSpaceDN w:val="0"/>
      <w:adjustRightInd w:val="0"/>
      <w:ind w:firstLine="720"/>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ED4DFA346EE146B3253C3E9C4D85872A7CF80957776C55B5E466E32990B3CE67E9FA7E8272D82A754x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38FF3BCB55E57288B230F3EB48319AFBEDDC3B0B52E10A41ACD1152F736D293454D9BA8E2A5EFATCP3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Отчет по итогам 2014 года о ходе реализации и оценке эффективности</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итогам 2014 года о ходе реализации и оценке эффективности</dc:title>
  <dc:creator>Кондрашева Ольга Викторовна</dc:creator>
  <cp:lastModifiedBy>Пешкова В.А.</cp:lastModifiedBy>
  <cp:revision>3</cp:revision>
  <dcterms:created xsi:type="dcterms:W3CDTF">2016-03-23T08:01:00Z</dcterms:created>
  <dcterms:modified xsi:type="dcterms:W3CDTF">2016-03-23T11:57:00Z</dcterms:modified>
</cp:coreProperties>
</file>